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中国物业管理协会课题研究具体要求</w:t>
      </w:r>
    </w:p>
    <w:bookmarkEnd w:id="0"/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</w:p>
    <w:p>
      <w:pPr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各课题承担单位认真阅读《中国物业管理协会课题研究管理办法》，严格按照规定时间要求，完成各阶段工作：</w:t>
      </w:r>
    </w:p>
    <w:p>
      <w:pPr>
        <w:spacing w:line="5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1.《中国物业管理协会2018年度物业管理课题研究计划》批复10个工作日内，年度课题提交《中国物业管理协会课题研究承诺书》，重点课题提交《中国物业管理协会课题研究合同书》；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5月底前各课题组召开课题开题会，重点课题开题会经与中国物协沟通后召开，年度课题开题会自行召开，会后5个工作日内提交课题研究开题提纲初稿（电子版）；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3.8月底前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各课题组自行</w:t>
      </w:r>
      <w:r>
        <w:rPr>
          <w:rFonts w:hint="eastAsia" w:ascii="仿宋" w:hAnsi="仿宋" w:eastAsia="仿宋" w:cs="仿宋"/>
          <w:sz w:val="30"/>
          <w:szCs w:val="30"/>
        </w:rPr>
        <w:t>召开中期汇报会，提交《中国物业管理协会研究课题中期进展报告》和课题报告初稿（电子版）；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4.12月前，按照中国物协下发的《关于开展年度物业管理课题研究结题工作的通知》要求提交结题资料。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上述相关文件资料请登录中国物协网站（www.ecpmi.org.cn）发展研究板块中心资料中下载。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联系人：刘寅坤、吴一帆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话：010-88083221、88083321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Q  Q : 376830411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  箱：wuyifan@ecpmi.org.cn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址：北京市海淀区三里河路15号中建大厦B9003</w:t>
      </w:r>
    </w:p>
    <w:p>
      <w:pPr>
        <w:pStyle w:val="2"/>
        <w:spacing w:line="385" w:lineRule="exact"/>
        <w:ind w:firstLine="0"/>
        <w:rPr>
          <w:rFonts w:ascii="宋体" w:hAnsi="宋体"/>
          <w:sz w:val="21"/>
          <w:szCs w:val="21"/>
        </w:rPr>
      </w:pPr>
    </w:p>
    <w:p/>
    <w:sectPr>
      <w:pgSz w:w="11906" w:h="16838"/>
      <w:pgMar w:top="1417" w:right="1701" w:bottom="1417" w:left="1701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19C4"/>
    <w:rsid w:val="247E19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ind w:firstLine="570"/>
      <w:jc w:val="left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2018-03-28T01:35:00Z</dcterms:created>
  <dc:creator>文婧</dc:creator>
  <cp:lastModifiedBy>文婧</cp:lastModifiedBy>
  <dcterms:modified xsi:type="dcterms:W3CDTF">2018-03-28T01:35:54Z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